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212" w:rsidRPr="004C686A" w:rsidRDefault="00657212" w:rsidP="00657212">
      <w:pPr>
        <w:ind w:left="57"/>
        <w:jc w:val="center"/>
        <w:rPr>
          <w:rFonts w:ascii="Times New Roman" w:hAnsi="Times New Roman" w:cs="Times New Roman"/>
          <w:b/>
          <w:sz w:val="24"/>
          <w:szCs w:val="24"/>
        </w:rPr>
      </w:pPr>
      <w:r w:rsidRPr="004C686A">
        <w:rPr>
          <w:rFonts w:ascii="Times New Roman" w:hAnsi="Times New Roman" w:cs="Times New Roman"/>
          <w:b/>
          <w:sz w:val="24"/>
          <w:szCs w:val="24"/>
        </w:rPr>
        <w:t>Exam 4</w:t>
      </w:r>
    </w:p>
    <w:p w:rsidR="00657212" w:rsidRPr="004C686A" w:rsidRDefault="00657212" w:rsidP="00657212">
      <w:pPr>
        <w:ind w:left="57"/>
        <w:jc w:val="center"/>
        <w:rPr>
          <w:rFonts w:ascii="Times New Roman" w:hAnsi="Times New Roman" w:cs="Times New Roman"/>
          <w:sz w:val="24"/>
          <w:szCs w:val="24"/>
        </w:rPr>
      </w:pPr>
      <w:r w:rsidRPr="004C686A">
        <w:rPr>
          <w:rFonts w:ascii="Times New Roman" w:hAnsi="Times New Roman" w:cs="Times New Roman"/>
          <w:b/>
          <w:sz w:val="24"/>
          <w:szCs w:val="24"/>
        </w:rPr>
        <w:t>Solution 1</w:t>
      </w:r>
    </w:p>
    <w:p w:rsidR="00657212" w:rsidRPr="004C686A" w:rsidRDefault="00657212" w:rsidP="00657212">
      <w:pPr>
        <w:ind w:left="57"/>
        <w:rPr>
          <w:rFonts w:ascii="Times New Roman" w:hAnsi="Times New Roman" w:cs="Times New Roman"/>
          <w:sz w:val="24"/>
          <w:szCs w:val="24"/>
        </w:rPr>
      </w:pPr>
      <w:r w:rsidRPr="004C686A">
        <w:rPr>
          <w:rFonts w:ascii="Times New Roman" w:hAnsi="Times New Roman" w:cs="Times New Roman"/>
          <w:sz w:val="24"/>
          <w:szCs w:val="24"/>
        </w:rPr>
        <w:t>Collective incapacitation - all people receive same sentence. It’s is viewed as a gamble, particularly since direct benefits are much less than direct costs. If crime reduction produces significant indirect benefits, however, such as anxiety reduction, collective incapacitation may pay off.</w:t>
      </w:r>
    </w:p>
    <w:p w:rsidR="00657212" w:rsidRPr="004C686A" w:rsidRDefault="00657212" w:rsidP="00657212">
      <w:pPr>
        <w:ind w:left="57"/>
        <w:rPr>
          <w:rFonts w:ascii="Times New Roman" w:hAnsi="Times New Roman" w:cs="Times New Roman"/>
          <w:sz w:val="24"/>
          <w:szCs w:val="24"/>
        </w:rPr>
      </w:pPr>
      <w:r w:rsidRPr="004C686A">
        <w:rPr>
          <w:rFonts w:ascii="Times New Roman" w:hAnsi="Times New Roman" w:cs="Times New Roman"/>
          <w:sz w:val="24"/>
          <w:szCs w:val="24"/>
        </w:rPr>
        <w:t xml:space="preserve">Selective incapacitation: individualized sentences based on predicted likelihood of criminal activity. It justifies additional beds without recourse to significant indirect benefits. Selective incapacitation policies have some support, but others believe a just deserts sentencing scheme is unfair. Benefits of selective incapacitation depend on the selection method and on characteristics of the criminal population and the criminal justice </w:t>
      </w:r>
      <w:r w:rsidRPr="00657212">
        <w:rPr>
          <w:rFonts w:ascii="Times New Roman" w:hAnsi="Times New Roman" w:cs="Times New Roman"/>
          <w:sz w:val="24"/>
        </w:rPr>
        <w:t>system (Davidson &amp; Reidy, 2016).</w:t>
      </w:r>
    </w:p>
    <w:p w:rsidR="00657212" w:rsidRPr="004C686A" w:rsidRDefault="00657212" w:rsidP="00657212">
      <w:pPr>
        <w:ind w:left="57"/>
        <w:jc w:val="center"/>
        <w:rPr>
          <w:rFonts w:ascii="Times New Roman" w:hAnsi="Times New Roman" w:cs="Times New Roman"/>
          <w:b/>
          <w:sz w:val="24"/>
          <w:szCs w:val="24"/>
        </w:rPr>
      </w:pPr>
      <w:r w:rsidRPr="004C686A">
        <w:rPr>
          <w:rFonts w:ascii="Times New Roman" w:hAnsi="Times New Roman" w:cs="Times New Roman"/>
          <w:b/>
          <w:sz w:val="24"/>
          <w:szCs w:val="24"/>
        </w:rPr>
        <w:t>Solution 2</w:t>
      </w:r>
    </w:p>
    <w:p w:rsidR="00657212" w:rsidRPr="00907B3A" w:rsidRDefault="00657212" w:rsidP="00907B3A">
      <w:pPr>
        <w:rPr>
          <w:rFonts w:ascii="Times New Roman" w:hAnsi="Times New Roman" w:cs="Times New Roman"/>
          <w:sz w:val="24"/>
        </w:rPr>
      </w:pPr>
      <w:r w:rsidRPr="00907B3A">
        <w:rPr>
          <w:rFonts w:ascii="Times New Roman" w:hAnsi="Times New Roman" w:cs="Times New Roman"/>
          <w:sz w:val="24"/>
        </w:rPr>
        <w:t xml:space="preserve">Gender responsiveness refers to outcomes that reflect an understanding of gender roles and inequalities and which make an effort to encourage equal participation and equal and fair distribution of benefits. </w:t>
      </w:r>
    </w:p>
    <w:p w:rsidR="00657212" w:rsidRPr="00907B3A" w:rsidRDefault="00657212" w:rsidP="00907B3A">
      <w:pPr>
        <w:rPr>
          <w:rFonts w:ascii="Times New Roman" w:hAnsi="Times New Roman" w:cs="Times New Roman"/>
          <w:sz w:val="24"/>
        </w:rPr>
      </w:pPr>
      <w:r w:rsidRPr="00907B3A">
        <w:rPr>
          <w:rFonts w:ascii="Times New Roman" w:hAnsi="Times New Roman" w:cs="Times New Roman"/>
          <w:sz w:val="24"/>
        </w:rPr>
        <w:t xml:space="preserve">"Correctional policy and procedure drives decisions in the management and rehabilitation of offender populations. The continuously emerging research on female offenders highlights differences from their male counterparts, particularly in the areas of health, mental health, substance abuse and risk (Redlich &amp; Shteynberg, 2016). </w:t>
      </w:r>
    </w:p>
    <w:p w:rsidR="00907B3A" w:rsidRPr="00907B3A" w:rsidRDefault="00907B3A" w:rsidP="00907B3A">
      <w:pPr>
        <w:rPr>
          <w:rFonts w:ascii="Times New Roman" w:hAnsi="Times New Roman" w:cs="Times New Roman"/>
          <w:sz w:val="24"/>
        </w:rPr>
      </w:pPr>
      <w:r w:rsidRPr="00907B3A">
        <w:rPr>
          <w:rFonts w:ascii="Times New Roman" w:hAnsi="Times New Roman" w:cs="Times New Roman"/>
          <w:sz w:val="24"/>
        </w:rPr>
        <w:t>Addressing the realities of women’s lives through gender-responsive policy and practice is fundamental to improved outcomes at all phases of the criminal justice system. The consideration of women’s and men’s different pathways into criminality, their differential responses to custody and supervision, and their differing program requirements can result in a criminal justice system that is better equipped to respond to both men and women offenders. The guiding principles and strategies are intended to be a blueprint for the development of gender-responsive policy and practice. They can serve as the foundation for improving the ways in which criminal justice agencies manage and supervise women offenders in both institutional and community settings.</w:t>
      </w:r>
    </w:p>
    <w:p w:rsidR="00657212" w:rsidRPr="004C686A" w:rsidRDefault="00657212" w:rsidP="00657212">
      <w:pPr>
        <w:ind w:left="57"/>
        <w:rPr>
          <w:rFonts w:ascii="Times New Roman" w:hAnsi="Times New Roman" w:cs="Times New Roman"/>
          <w:sz w:val="24"/>
          <w:szCs w:val="24"/>
        </w:rPr>
      </w:pPr>
    </w:p>
    <w:p w:rsidR="00657212" w:rsidRPr="004C686A" w:rsidRDefault="00657212" w:rsidP="00657212">
      <w:pPr>
        <w:ind w:left="57"/>
        <w:jc w:val="center"/>
        <w:rPr>
          <w:rFonts w:ascii="Times New Roman" w:hAnsi="Times New Roman" w:cs="Times New Roman"/>
          <w:b/>
          <w:sz w:val="24"/>
          <w:szCs w:val="24"/>
        </w:rPr>
      </w:pPr>
      <w:r w:rsidRPr="004C686A">
        <w:rPr>
          <w:rFonts w:ascii="Times New Roman" w:hAnsi="Times New Roman" w:cs="Times New Roman"/>
          <w:b/>
          <w:sz w:val="24"/>
          <w:szCs w:val="24"/>
        </w:rPr>
        <w:t>Solution 3</w:t>
      </w:r>
    </w:p>
    <w:p w:rsidR="00657212" w:rsidRPr="004C686A" w:rsidRDefault="00657212" w:rsidP="00657212">
      <w:pPr>
        <w:ind w:left="57"/>
        <w:rPr>
          <w:rFonts w:ascii="Times New Roman" w:hAnsi="Times New Roman" w:cs="Times New Roman"/>
          <w:sz w:val="24"/>
          <w:szCs w:val="24"/>
        </w:rPr>
      </w:pPr>
      <w:r w:rsidRPr="004C686A">
        <w:rPr>
          <w:rFonts w:ascii="Times New Roman" w:hAnsi="Times New Roman" w:cs="Times New Roman"/>
          <w:sz w:val="24"/>
          <w:szCs w:val="24"/>
        </w:rPr>
        <w:t>Differences:</w:t>
      </w:r>
    </w:p>
    <w:p w:rsidR="00657212" w:rsidRPr="009477B8" w:rsidRDefault="00657212" w:rsidP="009477B8">
      <w:pPr>
        <w:pStyle w:val="ListParagraph"/>
        <w:numPr>
          <w:ilvl w:val="0"/>
          <w:numId w:val="1"/>
        </w:numPr>
        <w:rPr>
          <w:rFonts w:ascii="Times New Roman" w:hAnsi="Times New Roman" w:cs="Times New Roman"/>
          <w:sz w:val="24"/>
          <w:szCs w:val="24"/>
        </w:rPr>
      </w:pPr>
      <w:r w:rsidRPr="009477B8">
        <w:rPr>
          <w:rFonts w:ascii="Times New Roman" w:hAnsi="Times New Roman" w:cs="Times New Roman"/>
          <w:sz w:val="24"/>
          <w:szCs w:val="24"/>
        </w:rPr>
        <w:t>Juveniles are not classified as “criminals,” or considered to have committed “crimes,” but rather, “delinquent acts.”</w:t>
      </w:r>
    </w:p>
    <w:p w:rsidR="00657212" w:rsidRPr="009477B8" w:rsidRDefault="00657212" w:rsidP="009477B8">
      <w:pPr>
        <w:pStyle w:val="ListParagraph"/>
        <w:numPr>
          <w:ilvl w:val="0"/>
          <w:numId w:val="1"/>
        </w:numPr>
        <w:rPr>
          <w:rFonts w:ascii="Times New Roman" w:hAnsi="Times New Roman" w:cs="Times New Roman"/>
          <w:sz w:val="24"/>
          <w:szCs w:val="24"/>
        </w:rPr>
      </w:pPr>
      <w:r w:rsidRPr="009477B8">
        <w:rPr>
          <w:rFonts w:ascii="Times New Roman" w:hAnsi="Times New Roman" w:cs="Times New Roman"/>
          <w:sz w:val="24"/>
          <w:szCs w:val="24"/>
        </w:rPr>
        <w:t>A complaint is filed in an adult criminal case, but a petition is filed in a juvenile offender case.</w:t>
      </w:r>
    </w:p>
    <w:p w:rsidR="00657212" w:rsidRPr="009477B8" w:rsidRDefault="00657212" w:rsidP="009477B8">
      <w:pPr>
        <w:pStyle w:val="ListParagraph"/>
        <w:numPr>
          <w:ilvl w:val="0"/>
          <w:numId w:val="1"/>
        </w:numPr>
        <w:rPr>
          <w:rFonts w:ascii="Times New Roman" w:hAnsi="Times New Roman" w:cs="Times New Roman"/>
          <w:sz w:val="24"/>
          <w:szCs w:val="24"/>
        </w:rPr>
      </w:pPr>
      <w:r w:rsidRPr="009477B8">
        <w:rPr>
          <w:rFonts w:ascii="Times New Roman" w:hAnsi="Times New Roman" w:cs="Times New Roman"/>
          <w:sz w:val="24"/>
          <w:szCs w:val="24"/>
        </w:rPr>
        <w:t>A convicted adults receives a sentence as punishment, whereas a juvenile receives a “disposition,” or outcome of their hearing.</w:t>
      </w:r>
    </w:p>
    <w:p w:rsidR="00657212" w:rsidRPr="009477B8" w:rsidRDefault="00657212" w:rsidP="009477B8">
      <w:pPr>
        <w:pStyle w:val="ListParagraph"/>
        <w:numPr>
          <w:ilvl w:val="0"/>
          <w:numId w:val="1"/>
        </w:numPr>
        <w:rPr>
          <w:rFonts w:ascii="Times New Roman" w:hAnsi="Times New Roman" w:cs="Times New Roman"/>
          <w:sz w:val="24"/>
          <w:szCs w:val="24"/>
        </w:rPr>
      </w:pPr>
      <w:r w:rsidRPr="009477B8">
        <w:rPr>
          <w:rFonts w:ascii="Times New Roman" w:hAnsi="Times New Roman" w:cs="Times New Roman"/>
          <w:sz w:val="24"/>
          <w:szCs w:val="24"/>
        </w:rPr>
        <w:t>In adult court, rules of criminal procedure are observed. In juvenile court, the rules of procedure may be more relaxed.</w:t>
      </w:r>
    </w:p>
    <w:p w:rsidR="00657212" w:rsidRPr="004C686A" w:rsidRDefault="00657212" w:rsidP="00657212">
      <w:pPr>
        <w:ind w:left="57"/>
        <w:rPr>
          <w:rFonts w:ascii="Times New Roman" w:hAnsi="Times New Roman" w:cs="Times New Roman"/>
          <w:sz w:val="24"/>
          <w:szCs w:val="24"/>
        </w:rPr>
      </w:pPr>
      <w:r w:rsidRPr="004C686A">
        <w:rPr>
          <w:rFonts w:ascii="Times New Roman" w:hAnsi="Times New Roman" w:cs="Times New Roman"/>
          <w:sz w:val="24"/>
          <w:szCs w:val="24"/>
        </w:rPr>
        <w:t xml:space="preserve">Similarities </w:t>
      </w:r>
    </w:p>
    <w:p w:rsidR="00657212" w:rsidRPr="009477B8" w:rsidRDefault="00657212" w:rsidP="009477B8">
      <w:pPr>
        <w:pStyle w:val="ListParagraph"/>
        <w:numPr>
          <w:ilvl w:val="0"/>
          <w:numId w:val="2"/>
        </w:numPr>
        <w:rPr>
          <w:rFonts w:ascii="Times New Roman" w:hAnsi="Times New Roman" w:cs="Times New Roman"/>
          <w:sz w:val="24"/>
          <w:szCs w:val="24"/>
        </w:rPr>
      </w:pPr>
      <w:bookmarkStart w:id="0" w:name="_GoBack"/>
      <w:r w:rsidRPr="009477B8">
        <w:rPr>
          <w:rFonts w:ascii="Times New Roman" w:hAnsi="Times New Roman" w:cs="Times New Roman"/>
          <w:sz w:val="24"/>
          <w:szCs w:val="24"/>
        </w:rPr>
        <w:t>The right to an attorney</w:t>
      </w:r>
    </w:p>
    <w:p w:rsidR="00657212" w:rsidRPr="009477B8" w:rsidRDefault="00657212" w:rsidP="009477B8">
      <w:pPr>
        <w:pStyle w:val="ListParagraph"/>
        <w:numPr>
          <w:ilvl w:val="0"/>
          <w:numId w:val="2"/>
        </w:numPr>
        <w:rPr>
          <w:rFonts w:ascii="Times New Roman" w:hAnsi="Times New Roman" w:cs="Times New Roman"/>
          <w:sz w:val="24"/>
          <w:szCs w:val="24"/>
        </w:rPr>
      </w:pPr>
      <w:r w:rsidRPr="009477B8">
        <w:rPr>
          <w:rFonts w:ascii="Times New Roman" w:hAnsi="Times New Roman" w:cs="Times New Roman"/>
          <w:sz w:val="24"/>
          <w:szCs w:val="24"/>
        </w:rPr>
        <w:t xml:space="preserve">The right to not incriminate </w:t>
      </w:r>
      <w:r w:rsidRPr="009477B8">
        <w:rPr>
          <w:rFonts w:ascii="Times New Roman" w:hAnsi="Times New Roman" w:cs="Times New Roman"/>
          <w:sz w:val="24"/>
        </w:rPr>
        <w:t>yourself (Hellmeier &amp; Weidmann, 2020)</w:t>
      </w:r>
    </w:p>
    <w:bookmarkEnd w:id="0"/>
    <w:p w:rsidR="003801D5" w:rsidRDefault="00FD3704"/>
    <w:p w:rsidR="00657212" w:rsidRDefault="00657212"/>
    <w:p w:rsidR="00657212" w:rsidRDefault="00657212"/>
    <w:p w:rsidR="00657212" w:rsidRDefault="00657212"/>
    <w:p w:rsidR="00657212" w:rsidRDefault="00657212"/>
    <w:p w:rsidR="00657212" w:rsidRDefault="00657212"/>
    <w:p w:rsidR="00657212" w:rsidRDefault="00657212"/>
    <w:p w:rsidR="00657212" w:rsidRDefault="00657212"/>
    <w:p w:rsidR="00657212" w:rsidRDefault="00657212"/>
    <w:p w:rsidR="00657212" w:rsidRDefault="00657212"/>
    <w:p w:rsidR="00657212" w:rsidRDefault="00657212"/>
    <w:p w:rsidR="00657212" w:rsidRDefault="00657212"/>
    <w:p w:rsidR="00657212" w:rsidRDefault="00657212" w:rsidP="00657212">
      <w:pPr>
        <w:jc w:val="center"/>
      </w:pPr>
      <w:r>
        <w:t>Reference</w:t>
      </w:r>
    </w:p>
    <w:p w:rsidR="00DF14B0" w:rsidRPr="00DF14B0" w:rsidRDefault="00DF14B0" w:rsidP="00DF14B0">
      <w:pPr>
        <w:ind w:left="720" w:hanging="720"/>
        <w:rPr>
          <w:rFonts w:ascii="Times New Roman" w:hAnsi="Times New Roman" w:cs="Times New Roman"/>
          <w:sz w:val="24"/>
        </w:rPr>
      </w:pPr>
      <w:r w:rsidRPr="00DF14B0">
        <w:rPr>
          <w:rFonts w:ascii="Times New Roman" w:hAnsi="Times New Roman" w:cs="Times New Roman"/>
          <w:sz w:val="24"/>
        </w:rPr>
        <w:t>Davidson, M., Sorensen, J. R., &amp; Reidy, T. J. (2016). Gender-responsiveness in corrections: Estimating female inmate misconduct risk using the Personality Assessment Inventory (PAI). Law and human behavior, 40(1), 72.</w:t>
      </w:r>
    </w:p>
    <w:p w:rsidR="00DF14B0" w:rsidRPr="00DF14B0" w:rsidRDefault="00DF14B0" w:rsidP="00DF14B0">
      <w:pPr>
        <w:ind w:left="720" w:hanging="720"/>
        <w:rPr>
          <w:rFonts w:ascii="Times New Roman" w:hAnsi="Times New Roman" w:cs="Times New Roman"/>
          <w:sz w:val="24"/>
        </w:rPr>
      </w:pPr>
      <w:r w:rsidRPr="00DF14B0">
        <w:rPr>
          <w:rFonts w:ascii="Times New Roman" w:hAnsi="Times New Roman" w:cs="Times New Roman"/>
          <w:sz w:val="24"/>
        </w:rPr>
        <w:t>Hellmeier, S., &amp; Weidmann, N. B. (2020). Pulling the strings? The strategic use of pro-government mobilization in authoritarian regimes. Comparative Political Studies, 53(1), 71-108.</w:t>
      </w:r>
    </w:p>
    <w:p w:rsidR="00DF14B0" w:rsidRPr="00DF14B0" w:rsidRDefault="00DF14B0" w:rsidP="00DF14B0">
      <w:pPr>
        <w:ind w:left="720" w:hanging="720"/>
        <w:rPr>
          <w:rFonts w:ascii="Times New Roman" w:hAnsi="Times New Roman" w:cs="Times New Roman"/>
          <w:sz w:val="24"/>
        </w:rPr>
      </w:pPr>
      <w:r w:rsidRPr="00DF14B0">
        <w:rPr>
          <w:rFonts w:ascii="Times New Roman" w:hAnsi="Times New Roman" w:cs="Times New Roman"/>
          <w:sz w:val="24"/>
        </w:rPr>
        <w:t>Redlich, A. D., &amp; Shteynberg, R. V. (2016). To plead or not to plead: A comparison of juvenile and adult true and false plea decisions. Law and Human Behavior, 40(6), 611.</w:t>
      </w:r>
    </w:p>
    <w:sectPr w:rsidR="00DF14B0" w:rsidRPr="00DF14B0">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704" w:rsidRDefault="00FD3704" w:rsidP="00657212">
      <w:pPr>
        <w:spacing w:after="0" w:line="240" w:lineRule="auto"/>
      </w:pPr>
      <w:r>
        <w:separator/>
      </w:r>
    </w:p>
  </w:endnote>
  <w:endnote w:type="continuationSeparator" w:id="0">
    <w:p w:rsidR="00FD3704" w:rsidRDefault="00FD3704" w:rsidP="00657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704" w:rsidRDefault="00FD3704" w:rsidP="00657212">
      <w:pPr>
        <w:spacing w:after="0" w:line="240" w:lineRule="auto"/>
      </w:pPr>
      <w:r>
        <w:separator/>
      </w:r>
    </w:p>
  </w:footnote>
  <w:footnote w:type="continuationSeparator" w:id="0">
    <w:p w:rsidR="00FD3704" w:rsidRDefault="00FD3704" w:rsidP="00657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9205395"/>
      <w:docPartObj>
        <w:docPartGallery w:val="Page Numbers (Top of Page)"/>
        <w:docPartUnique/>
      </w:docPartObj>
    </w:sdtPr>
    <w:sdtEndPr>
      <w:rPr>
        <w:noProof/>
      </w:rPr>
    </w:sdtEndPr>
    <w:sdtContent>
      <w:p w:rsidR="00657212" w:rsidRDefault="00657212">
        <w:pPr>
          <w:pStyle w:val="Header"/>
          <w:jc w:val="right"/>
        </w:pPr>
        <w:r>
          <w:fldChar w:fldCharType="begin"/>
        </w:r>
        <w:r>
          <w:instrText xml:space="preserve"> PAGE   \* MERGEFORMAT </w:instrText>
        </w:r>
        <w:r>
          <w:fldChar w:fldCharType="separate"/>
        </w:r>
        <w:r w:rsidR="00907B3A">
          <w:rPr>
            <w:noProof/>
          </w:rPr>
          <w:t>3</w:t>
        </w:r>
        <w:r>
          <w:rPr>
            <w:noProof/>
          </w:rPr>
          <w:fldChar w:fldCharType="end"/>
        </w:r>
      </w:p>
    </w:sdtContent>
  </w:sdt>
  <w:p w:rsidR="00657212" w:rsidRDefault="00657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D5DCF"/>
    <w:multiLevelType w:val="hybridMultilevel"/>
    <w:tmpl w:val="4ACCF4CA"/>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 w15:restartNumberingAfterBreak="0">
    <w:nsid w:val="53617535"/>
    <w:multiLevelType w:val="hybridMultilevel"/>
    <w:tmpl w:val="81FAEA5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212"/>
    <w:rsid w:val="003B6816"/>
    <w:rsid w:val="00523208"/>
    <w:rsid w:val="005E39F7"/>
    <w:rsid w:val="00657212"/>
    <w:rsid w:val="006D6F37"/>
    <w:rsid w:val="00833D69"/>
    <w:rsid w:val="00907B3A"/>
    <w:rsid w:val="009477B8"/>
    <w:rsid w:val="00B3708C"/>
    <w:rsid w:val="00C64E9B"/>
    <w:rsid w:val="00D55280"/>
    <w:rsid w:val="00DF14B0"/>
    <w:rsid w:val="00E008FE"/>
    <w:rsid w:val="00FD3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7C5BB"/>
  <w15:chartTrackingRefBased/>
  <w15:docId w15:val="{11B3A5F8-D432-4234-A342-85249A0D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2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212"/>
  </w:style>
  <w:style w:type="paragraph" w:styleId="Footer">
    <w:name w:val="footer"/>
    <w:basedOn w:val="Normal"/>
    <w:link w:val="FooterChar"/>
    <w:uiPriority w:val="99"/>
    <w:unhideWhenUsed/>
    <w:rsid w:val="00657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212"/>
  </w:style>
  <w:style w:type="paragraph" w:styleId="ListParagraph">
    <w:name w:val="List Paragraph"/>
    <w:basedOn w:val="Normal"/>
    <w:uiPriority w:val="34"/>
    <w:qFormat/>
    <w:rsid w:val="009477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490</Words>
  <Characters>2795</Characters>
  <Application>Microsoft Office Word</Application>
  <DocSecurity>0</DocSecurity>
  <Lines>23</Lines>
  <Paragraphs>6</Paragraphs>
  <ScaleCrop>false</ScaleCrop>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LIVERPOOL</dc:creator>
  <cp:keywords/>
  <dc:description/>
  <cp:lastModifiedBy>LIVERPOOL</cp:lastModifiedBy>
  <cp:revision>10</cp:revision>
  <dcterms:created xsi:type="dcterms:W3CDTF">2021-03-06T18:55:00Z</dcterms:created>
  <dcterms:modified xsi:type="dcterms:W3CDTF">2021-03-08T19:16:00Z</dcterms:modified>
</cp:coreProperties>
</file>